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Glesskallberget i Bjurholms kommun</w:t>
      </w:r>
    </w:p>
    <w:p>
      <w:r>
        <w:t>Detta dokument behandlar höga naturvärden i avverkningsanmälan Glesskallberget i Bjurholms kommun. Denna avverkningsanmälan inkom 2025-08-02 och omfattar 771,6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30 naturvårdsarter hittats: doftticka (VU, §8), lappticka (VU), långskägg (VU, §8), rynkskinn (VU), ulltickeporing (VU), doftskinn (NT), gammelgransskål (NT), garnlav (NT), granticka (NT), gränsticka (NT), harticka (NT), hornvaxskinn (NT), järpe (NT, §4), lunglav (NT), pilgrimsfalk (NT, §4), rosenticka (NT), skrovellav (NT), tretåig hackspett (NT, §4), ullticka (NT), violettgrå tagellav (NT), bårdlav (S), luddlav (S), mörk husmossa (S), skinnlav (S), spindelblomster (S, §8), stor aspticka (S), stuplav (S), vedticka (S), tjäder (§4) och fläcknycklar (§8). Av dessa är 20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6140548"/>
            <wp:docPr id="1" name="Picture 1"/>
            <wp:cNvGraphicFramePr>
              <a:graphicFrameLocks noChangeAspect="1"/>
            </wp:cNvGraphicFramePr>
            <a:graphic>
              <a:graphicData uri="http://schemas.openxmlformats.org/drawingml/2006/picture">
                <pic:pic>
                  <pic:nvPicPr>
                    <pic:cNvPr id="0" name="Glesskallberget karta.png"/>
                    <pic:cNvPicPr/>
                  </pic:nvPicPr>
                  <pic:blipFill>
                    <a:blip r:embed="rId16"/>
                    <a:stretch>
                      <a:fillRect/>
                    </a:stretch>
                  </pic:blipFill>
                  <pic:spPr>
                    <a:xfrm>
                      <a:off x="0" y="0"/>
                      <a:ext cx="5486400" cy="614054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7075314, E 678447 i SWEREF 99 TM.</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(SLU Artdatabanken, 2024; Nitare &amp; Skogsstyrelsen, 2019).</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Lappticka (VU)</w:t>
      </w:r>
      <w:r>
        <w:t>, rödlistad som sårbar, är knuten till gamla granskogar med riklig förekomst av död ved. Den klassas som en “urskogsindikator” och alla skogsskötselåtgärder på eller i omedelbar närhet av lokalerna utgör ett hot (Nitare &amp; Skogsstyrelsen, 2019;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 xml:space="preserve">Mörk husmossa </w:t>
      </w:r>
      <w:r>
        <w:t>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(SLU Artdatabanken, 2024; Nitare &amp; Skogsstyrelsen, 2019).</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(SLU Artdatabanken, 2024; Nitare &amp; Skogsstyrelsen, 2019).</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 xml:space="preserve">Ulltickeporing </w:t>
      </w:r>
      <w:r>
        <w:rPr>
          <w:b/>
          <w:i/>
        </w:rPr>
        <w:t>Skeletocutis brevispora</w:t>
      </w:r>
      <w:r>
        <w:rPr>
          <w:b/>
        </w:rPr>
        <w:t xml:space="preserve"> (VU)</w:t>
      </w:r>
      <w:r>
        <w:t>,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doftticka (VU, §8), långskägg (VU, §8), järpe (NT, §4), pilgrimsfalk (NT, §4), tretåig hackspett (NT, §4), spindelblomster (S, §8), tjäder (§4) och fläcknycklar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Långskägg (VU, §8)</w:t>
      </w:r>
      <w:r>
        <w:t xml:space="preserve"> är en exklusiv art som signalerar naturskogar med mycket höga naturvärden. Den är placerad högst upp i Skogsstyrelsens värdepyramid för bedömning av skog med höga naturvärden och fridlyst enligt 8 § artskyddsförordningen. Arten förekommer främst i urskogsartade granskogar i nord- eller östvända bergssluttningar men även i gransumpskog, myrkanter och längs bäckdråg och indikerar lång skoglig kontinuitet där lokalerna ofta utgörs av brandrefugier, det vill säga områden som inte brunnit under åtminstone de senaste 200–300 åren. Långskägg är mycket känslig för uttorkning och vindpåverkan och överlever inte en slutavverkning (inklusive hänsyn). Samtliga kvarvarande lokaler bör skyddas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28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30 naturvårdsarter varav 20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p>
      <w:pPr>
        <w:pStyle w:val="Heading1"/>
      </w:pPr>
      <w:r>
        <w:t>Ulltickeporing – ekologi samt krav på livsmiljön</w:t>
      </w:r>
    </w:p>
    <w:p>
      <w:r>
        <w:t xml:space="preserve">Ulltickeporing </w:t>
      </w:r>
      <w:r>
        <w:rPr>
          <w:i/>
        </w:rPr>
        <w:t>Skeletocutis brevispora</w:t>
      </w:r>
      <w:r>
        <w:t xml:space="preserve"> (VU), rödlistad som sårbar, växer på ullticka (NT) i naturskogsartade granskogar. Avverkning av naturskogslika miljöer och av grova granar där ulltickeporing förekommer är ett direkt hot mot artens fortlevnad Alla skogliga åtgärder som innebär att lågor och döda eller skadade träd tas bort missgynnar arten. På sikt är minskad tillgång till lämpligt substrat och krympande areal av naturskog ett hot, framförallt råder brist på grov ved som lågor i sena nedbrytningsstadier. Ytterligare fragmentering av skogslandskapet minskar artens möjligheter till spridning. Gamla granskogar som hyser arten undantas helt från skogsbruk (SLU Artdatabanken, 2024).</w:t>
      </w:r>
    </w:p>
    <w:p>
      <w:r>
        <w:t xml:space="preserve">Ulltickeporingen har nyligen delats upp i tre olika arter: </w:t>
      </w:r>
      <w:r>
        <w:rPr>
          <w:i/>
        </w:rPr>
        <w:t xml:space="preserve">Skeletocutis brevispora </w:t>
      </w:r>
      <w:r>
        <w:t>(ulltickeporing)</w:t>
      </w:r>
      <w:r>
        <w:rPr>
          <w:i/>
        </w:rPr>
        <w:t>, Skeletocutis delicata och Skeletocutis exilis</w:t>
      </w:r>
      <w:r>
        <w:t xml:space="preserve"> (Miettinen &amp; Niemelä, 2018). Skeletocutis delicata och Skeletocutis exilis står för närvarande (2020) som ej bedömda i rödlistan.</w:t>
      </w:r>
    </w:p>
    <w:p>
      <w:pPr>
        <w:pStyle w:val="Heading2"/>
      </w:pPr>
      <w:r>
        <w:t>Referenser – ulltickeporing</w:t>
      </w:r>
    </w:p>
    <w:p>
      <w:r>
        <w:t xml:space="preserve">Miettinen, O. &amp; Niemelä, T., 2018. </w:t>
      </w:r>
      <w:r>
        <w:rPr>
          <w:i/>
        </w:rPr>
        <w:t>Two new temperate polypore species of Skeletocutis (Polyporales, Basidiomycota)</w:t>
      </w:r>
      <w:r>
        <w:t>. Ann. Bot. Fennici 55: 195–206.</w:t>
      </w:r>
    </w:p>
    <w:p>
      <w:r>
        <w:t xml:space="preserve">SLU Artdatabanken, 2024. </w:t>
      </w:r>
      <w:r>
        <w:rPr>
          <w:i/>
        </w:rPr>
        <w:t xml:space="preserve">Artfaktablad. Naturvård – artfakta. </w:t>
      </w:r>
      <w:r>
        <w:t>SLU Artdatabanken, Uppsala</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2025-08-02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